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74581" w14:textId="77777777" w:rsidR="00E86B95" w:rsidRPr="00E86B95" w:rsidRDefault="00E86B95" w:rsidP="00E86B95">
      <w:pPr>
        <w:spacing w:after="0" w:line="240" w:lineRule="auto"/>
        <w:jc w:val="both"/>
      </w:pPr>
      <w:proofErr w:type="spellStart"/>
      <w:r w:rsidRPr="00E86B95">
        <w:t>Memperkenalkan</w:t>
      </w:r>
      <w:proofErr w:type="spellEnd"/>
      <w:r w:rsidRPr="00E86B95">
        <w:t xml:space="preserve"> </w:t>
      </w:r>
      <w:proofErr w:type="spellStart"/>
      <w:r w:rsidRPr="00E86B95">
        <w:t>sebuah</w:t>
      </w:r>
      <w:proofErr w:type="spellEnd"/>
      <w:r w:rsidRPr="00E86B95">
        <w:t xml:space="preserve"> </w:t>
      </w:r>
      <w:proofErr w:type="spellStart"/>
      <w:r w:rsidRPr="00E86B95">
        <w:t>sistem</w:t>
      </w:r>
      <w:proofErr w:type="spellEnd"/>
      <w:r w:rsidRPr="00E86B95">
        <w:t xml:space="preserve"> </w:t>
      </w:r>
      <w:proofErr w:type="spellStart"/>
      <w:r w:rsidRPr="00E86B95">
        <w:t>laboratorium</w:t>
      </w:r>
      <w:proofErr w:type="spellEnd"/>
      <w:r w:rsidRPr="00E86B95">
        <w:t xml:space="preserve"> </w:t>
      </w:r>
      <w:proofErr w:type="spellStart"/>
      <w:r w:rsidRPr="00E86B95">
        <w:t>komprehensif</w:t>
      </w:r>
      <w:proofErr w:type="spellEnd"/>
      <w:r w:rsidRPr="00E86B95">
        <w:t xml:space="preserve"> yang </w:t>
      </w:r>
      <w:proofErr w:type="spellStart"/>
      <w:r w:rsidRPr="00E86B95">
        <w:t>dirancang</w:t>
      </w:r>
      <w:proofErr w:type="spellEnd"/>
      <w:r w:rsidRPr="00E86B95">
        <w:t xml:space="preserve"> </w:t>
      </w:r>
      <w:proofErr w:type="spellStart"/>
      <w:r w:rsidRPr="00E86B95">
        <w:t>untuk</w:t>
      </w:r>
      <w:proofErr w:type="spellEnd"/>
      <w:r w:rsidRPr="00E86B95">
        <w:t xml:space="preserve"> </w:t>
      </w:r>
      <w:proofErr w:type="spellStart"/>
      <w:r w:rsidRPr="00E86B95">
        <w:t>menyelidiki</w:t>
      </w:r>
      <w:proofErr w:type="spellEnd"/>
      <w:r w:rsidRPr="00E86B95">
        <w:t xml:space="preserve"> </w:t>
      </w:r>
      <w:proofErr w:type="spellStart"/>
      <w:r w:rsidRPr="00E86B95">
        <w:t>Efek</w:t>
      </w:r>
      <w:proofErr w:type="spellEnd"/>
      <w:r w:rsidRPr="00E86B95">
        <w:t xml:space="preserve"> </w:t>
      </w:r>
      <w:proofErr w:type="spellStart"/>
      <w:r w:rsidRPr="00E86B95">
        <w:t>Magnetoresistansi</w:t>
      </w:r>
      <w:proofErr w:type="spellEnd"/>
      <w:r w:rsidRPr="00E86B95">
        <w:t xml:space="preserve"> </w:t>
      </w:r>
      <w:proofErr w:type="spellStart"/>
      <w:r w:rsidRPr="00E86B95">
        <w:t>Raksasa</w:t>
      </w:r>
      <w:proofErr w:type="spellEnd"/>
      <w:r w:rsidRPr="00E86B95">
        <w:t xml:space="preserve"> (</w:t>
      </w:r>
      <w:proofErr w:type="spellStart"/>
      <w:r w:rsidRPr="00E86B95">
        <w:t>sering</w:t>
      </w:r>
      <w:proofErr w:type="spellEnd"/>
      <w:r w:rsidRPr="00E86B95">
        <w:t xml:space="preserve"> </w:t>
      </w:r>
      <w:proofErr w:type="spellStart"/>
      <w:r w:rsidRPr="00E86B95">
        <w:t>disebut</w:t>
      </w:r>
      <w:proofErr w:type="spellEnd"/>
      <w:r w:rsidRPr="00E86B95">
        <w:t xml:space="preserve"> Huge Magnetoresistance </w:t>
      </w:r>
      <w:proofErr w:type="spellStart"/>
      <w:r w:rsidRPr="00E86B95">
        <w:t>atau</w:t>
      </w:r>
      <w:proofErr w:type="spellEnd"/>
      <w:r w:rsidRPr="00E86B95">
        <w:t xml:space="preserve"> HMR/GMR) </w:t>
      </w:r>
      <w:proofErr w:type="spellStart"/>
      <w:r w:rsidRPr="00E86B95">
        <w:t>sebuah</w:t>
      </w:r>
      <w:proofErr w:type="spellEnd"/>
      <w:r w:rsidRPr="00E86B95">
        <w:t xml:space="preserve"> </w:t>
      </w:r>
      <w:proofErr w:type="spellStart"/>
      <w:r w:rsidRPr="00E86B95">
        <w:t>fenomena</w:t>
      </w:r>
      <w:proofErr w:type="spellEnd"/>
      <w:r w:rsidRPr="00E86B95">
        <w:t xml:space="preserve"> </w:t>
      </w:r>
      <w:proofErr w:type="spellStart"/>
      <w:r w:rsidRPr="00E86B95">
        <w:t>fisika</w:t>
      </w:r>
      <w:proofErr w:type="spellEnd"/>
      <w:r w:rsidRPr="00E86B95">
        <w:t xml:space="preserve"> </w:t>
      </w:r>
      <w:proofErr w:type="spellStart"/>
      <w:r w:rsidRPr="00E86B95">
        <w:t>kuantum</w:t>
      </w:r>
      <w:proofErr w:type="spellEnd"/>
      <w:r w:rsidRPr="00E86B95">
        <w:t xml:space="preserve"> yang </w:t>
      </w:r>
      <w:proofErr w:type="spellStart"/>
      <w:r w:rsidRPr="00E86B95">
        <w:t>menjadi</w:t>
      </w:r>
      <w:proofErr w:type="spellEnd"/>
      <w:r w:rsidRPr="00E86B95">
        <w:t xml:space="preserve"> </w:t>
      </w:r>
      <w:proofErr w:type="spellStart"/>
      <w:r w:rsidRPr="00E86B95">
        <w:t>dasar</w:t>
      </w:r>
      <w:proofErr w:type="spellEnd"/>
      <w:r w:rsidRPr="00E86B95">
        <w:t xml:space="preserve"> </w:t>
      </w:r>
      <w:proofErr w:type="spellStart"/>
      <w:r w:rsidRPr="00E86B95">
        <w:t>bagi</w:t>
      </w:r>
      <w:proofErr w:type="spellEnd"/>
      <w:r w:rsidRPr="00E86B95">
        <w:t xml:space="preserve"> </w:t>
      </w:r>
      <w:proofErr w:type="spellStart"/>
      <w:r w:rsidRPr="00E86B95">
        <w:t>teknologi</w:t>
      </w:r>
      <w:proofErr w:type="spellEnd"/>
      <w:r w:rsidRPr="00E86B95">
        <w:t xml:space="preserve"> modern </w:t>
      </w:r>
      <w:proofErr w:type="spellStart"/>
      <w:r w:rsidRPr="00E86B95">
        <w:t>seperti</w:t>
      </w:r>
      <w:proofErr w:type="spellEnd"/>
      <w:r w:rsidRPr="00E86B95">
        <w:t xml:space="preserve"> </w:t>
      </w:r>
      <w:proofErr w:type="spellStart"/>
      <w:r w:rsidRPr="00E86B95">
        <w:t>kepala</w:t>
      </w:r>
      <w:proofErr w:type="spellEnd"/>
      <w:r w:rsidRPr="00E86B95">
        <w:t xml:space="preserve"> </w:t>
      </w:r>
      <w:proofErr w:type="spellStart"/>
      <w:r w:rsidRPr="00E86B95">
        <w:t>baca</w:t>
      </w:r>
      <w:proofErr w:type="spellEnd"/>
      <w:r w:rsidRPr="00E86B95">
        <w:t xml:space="preserve"> (reading heads) pada media </w:t>
      </w:r>
      <w:proofErr w:type="spellStart"/>
      <w:r w:rsidRPr="00E86B95">
        <w:t>penyimpanan</w:t>
      </w:r>
      <w:proofErr w:type="spellEnd"/>
      <w:r w:rsidRPr="00E86B95">
        <w:t xml:space="preserve"> </w:t>
      </w:r>
      <w:proofErr w:type="spellStart"/>
      <w:r w:rsidRPr="00E86B95">
        <w:t>magnetik</w:t>
      </w:r>
      <w:proofErr w:type="spellEnd"/>
      <w:r w:rsidRPr="00E86B95">
        <w:t xml:space="preserve"> </w:t>
      </w:r>
      <w:proofErr w:type="spellStart"/>
      <w:r w:rsidRPr="00E86B95">
        <w:t>berdensitas</w:t>
      </w:r>
      <w:proofErr w:type="spellEnd"/>
      <w:r w:rsidRPr="00E86B95">
        <w:t xml:space="preserve"> </w:t>
      </w:r>
      <w:proofErr w:type="spellStart"/>
      <w:r w:rsidRPr="00E86B95">
        <w:t>tinggi</w:t>
      </w:r>
      <w:proofErr w:type="spellEnd"/>
      <w:r w:rsidRPr="00E86B95">
        <w:t xml:space="preserve"> </w:t>
      </w:r>
      <w:proofErr w:type="spellStart"/>
      <w:r w:rsidRPr="00E86B95">
        <w:t>Peralatan</w:t>
      </w:r>
      <w:proofErr w:type="spellEnd"/>
      <w:r w:rsidRPr="00E86B95">
        <w:t xml:space="preserve"> </w:t>
      </w:r>
      <w:proofErr w:type="spellStart"/>
      <w:r w:rsidRPr="00E86B95">
        <w:t>ini</w:t>
      </w:r>
      <w:proofErr w:type="spellEnd"/>
      <w:r w:rsidRPr="00E86B95">
        <w:t xml:space="preserve"> </w:t>
      </w:r>
      <w:proofErr w:type="spellStart"/>
      <w:r w:rsidRPr="00E86B95">
        <w:t>menyediakan</w:t>
      </w:r>
      <w:proofErr w:type="spellEnd"/>
      <w:r w:rsidRPr="00E86B95">
        <w:t xml:space="preserve"> platform yang </w:t>
      </w:r>
      <w:proofErr w:type="spellStart"/>
      <w:r w:rsidRPr="00E86B95">
        <w:t>sederhana</w:t>
      </w:r>
      <w:proofErr w:type="spellEnd"/>
      <w:r w:rsidRPr="00E86B95">
        <w:t xml:space="preserve"> </w:t>
      </w:r>
      <w:proofErr w:type="spellStart"/>
      <w:r w:rsidRPr="00E86B95">
        <w:t>namun</w:t>
      </w:r>
      <w:proofErr w:type="spellEnd"/>
      <w:r w:rsidRPr="00E86B95">
        <w:t xml:space="preserve"> kaya </w:t>
      </w:r>
      <w:proofErr w:type="spellStart"/>
      <w:r w:rsidRPr="00E86B95">
        <w:t>akan</w:t>
      </w:r>
      <w:proofErr w:type="spellEnd"/>
      <w:r w:rsidRPr="00E86B95">
        <w:t xml:space="preserve"> </w:t>
      </w:r>
      <w:proofErr w:type="spellStart"/>
      <w:r w:rsidRPr="00E86B95">
        <w:t>konten</w:t>
      </w:r>
      <w:proofErr w:type="spellEnd"/>
      <w:r w:rsidRPr="00E86B95">
        <w:t xml:space="preserve"> </w:t>
      </w:r>
      <w:proofErr w:type="spellStart"/>
      <w:r w:rsidRPr="00E86B95">
        <w:t>eksperimental</w:t>
      </w:r>
      <w:proofErr w:type="spellEnd"/>
      <w:r w:rsidRPr="00E86B95">
        <w:t xml:space="preserve"> </w:t>
      </w:r>
      <w:proofErr w:type="spellStart"/>
      <w:r w:rsidRPr="00E86B95">
        <w:t>untuk</w:t>
      </w:r>
      <w:proofErr w:type="spellEnd"/>
      <w:r w:rsidRPr="00E86B95">
        <w:t xml:space="preserve"> </w:t>
      </w:r>
      <w:proofErr w:type="spellStart"/>
      <w:r w:rsidRPr="00E86B95">
        <w:t>mahasiswa</w:t>
      </w:r>
      <w:proofErr w:type="spellEnd"/>
      <w:r w:rsidRPr="00E86B95">
        <w:t xml:space="preserve"> </w:t>
      </w:r>
      <w:proofErr w:type="spellStart"/>
      <w:r w:rsidRPr="00E86B95">
        <w:t>memahami</w:t>
      </w:r>
      <w:proofErr w:type="spellEnd"/>
      <w:r w:rsidRPr="00E86B95">
        <w:t xml:space="preserve"> </w:t>
      </w:r>
      <w:proofErr w:type="spellStart"/>
      <w:r w:rsidRPr="00E86B95">
        <w:t>prinsip</w:t>
      </w:r>
      <w:proofErr w:type="spellEnd"/>
      <w:r w:rsidRPr="00E86B95">
        <w:t xml:space="preserve"> </w:t>
      </w:r>
      <w:proofErr w:type="spellStart"/>
      <w:r w:rsidRPr="00E86B95">
        <w:t>aplikasi</w:t>
      </w:r>
      <w:proofErr w:type="spellEnd"/>
      <w:r w:rsidRPr="00E86B95">
        <w:t xml:space="preserve"> dan </w:t>
      </w:r>
      <w:proofErr w:type="spellStart"/>
      <w:r w:rsidRPr="00E86B95">
        <w:t>metode</w:t>
      </w:r>
      <w:proofErr w:type="spellEnd"/>
      <w:r w:rsidRPr="00E86B95">
        <w:t xml:space="preserve"> </w:t>
      </w:r>
      <w:proofErr w:type="spellStart"/>
      <w:r w:rsidRPr="00E86B95">
        <w:t>kalibrasi</w:t>
      </w:r>
      <w:proofErr w:type="spellEnd"/>
      <w:r w:rsidRPr="00E86B95">
        <w:t xml:space="preserve"> </w:t>
      </w:r>
      <w:proofErr w:type="spellStart"/>
      <w:r w:rsidRPr="00E86B95">
        <w:t>dari</w:t>
      </w:r>
      <w:proofErr w:type="spellEnd"/>
      <w:r w:rsidRPr="00E86B95">
        <w:t xml:space="preserve"> sensor </w:t>
      </w:r>
      <w:proofErr w:type="spellStart"/>
      <w:r w:rsidRPr="00E86B95">
        <w:t>magnetoresistif</w:t>
      </w:r>
      <w:proofErr w:type="spellEnd"/>
      <w:r w:rsidRPr="00E86B95">
        <w:t xml:space="preserve"> modern</w:t>
      </w:r>
    </w:p>
    <w:p w14:paraId="06424EFE" w14:textId="77777777" w:rsidR="00E86B95" w:rsidRPr="00E86B95" w:rsidRDefault="00E86B95" w:rsidP="00E86B95">
      <w:pPr>
        <w:spacing w:after="0" w:line="240" w:lineRule="auto"/>
        <w:jc w:val="both"/>
        <w:rPr>
          <w:lang w:val="sv-SE"/>
        </w:rPr>
      </w:pPr>
      <w:r w:rsidRPr="00E86B95">
        <w:rPr>
          <w:lang w:val="sv-SE"/>
        </w:rPr>
        <w:t>Perjalanan eksperimental dimulai dengan pemahaman dasar dan kalibrasi sensor Mahasiswa akan mempelajari prinsip kerja dari efek HMR dan menggunakan sepasang kumparan Helmholtz yang disertakan untuk menghasilkan medan magnet yang seragam dan dapat dihitung Dengan medan yang diketahui ini mereka akan melakukan proses kalibrasi pada sensor HMR sebuah langkah fundamental untuk memastikan akurasi dalam semua pengukuran selanjutnya dan merupakan keterampilan penting dalam instrumentasi</w:t>
      </w:r>
    </w:p>
    <w:p w14:paraId="38DD13AE" w14:textId="77777777" w:rsidR="00E86B95" w:rsidRPr="00E86B95" w:rsidRDefault="00E86B95" w:rsidP="00E86B95">
      <w:pPr>
        <w:spacing w:after="0" w:line="240" w:lineRule="auto"/>
        <w:jc w:val="both"/>
        <w:rPr>
          <w:lang w:val="sv-SE"/>
        </w:rPr>
      </w:pPr>
      <w:r w:rsidRPr="00E86B95">
        <w:rPr>
          <w:lang w:val="sv-SE"/>
        </w:rPr>
        <w:t>Setelah sensor terkalibrasi mahasiswa akan melakukan serangkaian eksperimen karakterisasi yang mendalam Mereka akan menyelidiki bagaimana sensitivitas sensor berubah sebagai fungsi dari tegangan operasinya memberikan wawasan tentang kondisi kerja optimal Selain itu mereka akan mempelajari ketergantungan sudut dari sensor dengan mengukur responsnya ketika sumbu sensitifnya diputar relatif terhadap arah medan magnet memberikan profil kinerja yang lengkap</w:t>
      </w:r>
    </w:p>
    <w:p w14:paraId="1448D6E6" w14:textId="77777777" w:rsidR="00E86B95" w:rsidRPr="00E86B95" w:rsidRDefault="00E86B95" w:rsidP="00E86B95">
      <w:pPr>
        <w:spacing w:after="0" w:line="240" w:lineRule="auto"/>
        <w:jc w:val="both"/>
        <w:rPr>
          <w:lang w:val="sv-SE"/>
        </w:rPr>
      </w:pPr>
      <w:r w:rsidRPr="00E86B95">
        <w:rPr>
          <w:lang w:val="sv-SE"/>
        </w:rPr>
        <w:t>Perangkat ini juga secara brilian mendemonstrasikan aplikasi praktis dari sensor HMR Setelah dikarakterisasi mahasiswa dapat menggunakan sensor tersebut untuk tugas-tugas pengukuran di dunia nyata seperti mendeteksi dan mengukur medan magnet yang lemah Secara khusus mereka dapat melakukan eksperimen menarik untuk mengukur arus yang mengalir melalui sebuah kawat berlistrik secara non-kontak hanya dengan mendeteksi medan magnet yang dihasilkannya sebuah demonstrasi langsung dari kegunaan sensor ini dalam teknologi</w:t>
      </w:r>
    </w:p>
    <w:p w14:paraId="4969037B" w14:textId="77777777" w:rsidR="00E86B95" w:rsidRPr="00E86B95" w:rsidRDefault="00E86B95" w:rsidP="00E86B95">
      <w:pPr>
        <w:spacing w:after="0" w:line="240" w:lineRule="auto"/>
        <w:jc w:val="both"/>
        <w:rPr>
          <w:lang w:val="sv-SE"/>
        </w:rPr>
      </w:pPr>
      <w:r w:rsidRPr="00E86B95">
        <w:rPr>
          <w:lang w:val="sv-SE"/>
        </w:rPr>
        <w:t>Dengan desain all-in-one yang mencakup catu daya yang dapat diatur secara kontinu untuk sensor dan kumparan Helmholtz peralatan ini menawarkan solusi yang lengkap dan siap pakai Strukturnya yang kokoh dan keandalan datanya membuatnya cocok untuk berbagai tingkatan pendidikan mulai dari sekolah menengah teknik hingga eksperimen fisika dasar dan perancangan komprehensif di universitas</w:t>
      </w:r>
    </w:p>
    <w:p w14:paraId="5CB75BED" w14:textId="77777777" w:rsidR="00E86B95" w:rsidRPr="00E86B95" w:rsidRDefault="00E86B95" w:rsidP="00E86B95">
      <w:pPr>
        <w:pBdr>
          <w:bottom w:val="double" w:sz="6" w:space="1" w:color="auto"/>
        </w:pBdr>
        <w:spacing w:after="0" w:line="240" w:lineRule="auto"/>
        <w:jc w:val="both"/>
        <w:rPr>
          <w:lang w:val="sv-SE"/>
        </w:rPr>
      </w:pPr>
      <w:r w:rsidRPr="00E86B95">
        <w:rPr>
          <w:lang w:val="sv-SE"/>
        </w:rPr>
        <w:t>Secara keseluruhan peralatan ini adalah jembatan yang efektif antara fisika zat padat fundamental dan aplikasi teknologi mutakhir Ini memberikan mahasiswa pengalaman langsung yang tak ternilai dalam mengkarakterisasi dan memanfaatkan sensor magnetik modern menjadikannya investasi yang sangat baik untuk setiap institusi yang ingin mengajarkan prinsip-prinsip di balik teknologi penyimpanan data dan penginderaan magnetik</w:t>
      </w:r>
    </w:p>
    <w:p w14:paraId="17E10473" w14:textId="77777777" w:rsidR="00E86B95" w:rsidRPr="00E86B95" w:rsidRDefault="00E86B95" w:rsidP="00E86B95">
      <w:pPr>
        <w:spacing w:after="0" w:line="240" w:lineRule="auto"/>
        <w:jc w:val="both"/>
      </w:pPr>
      <w:r w:rsidRPr="00E86B95">
        <w:t xml:space="preserve">Introducing a comprehensive laboratory system designed to investigate the Huge Magnetoresistance (HMR/GMR) Effect a quantum physics phenomenon that forms the basis of modern technologies like the reading heads in high-density magnetic storage media This apparatus provides a simple yet experimentally rich platform for students to understand the principles applications and calibration methods of modern </w:t>
      </w:r>
      <w:proofErr w:type="spellStart"/>
      <w:r w:rsidRPr="00E86B95">
        <w:t>magnetoresistive</w:t>
      </w:r>
      <w:proofErr w:type="spellEnd"/>
      <w:r w:rsidRPr="00E86B95">
        <w:t xml:space="preserve"> sensors</w:t>
      </w:r>
    </w:p>
    <w:p w14:paraId="2E747FBA" w14:textId="77777777" w:rsidR="00E86B95" w:rsidRPr="00E86B95" w:rsidRDefault="00E86B95" w:rsidP="00E86B95">
      <w:pPr>
        <w:spacing w:after="0" w:line="240" w:lineRule="auto"/>
        <w:jc w:val="both"/>
      </w:pPr>
      <w:r w:rsidRPr="00E86B95">
        <w:t xml:space="preserve">The experimental journey begins with fundamentals and sensor calibration Students will learn the working principle of the HMR effect and use the included pair of Helmholtz coils to generate a uniform and calculable magnetic field </w:t>
      </w:r>
      <w:proofErr w:type="gramStart"/>
      <w:r w:rsidRPr="00E86B95">
        <w:t>With</w:t>
      </w:r>
      <w:proofErr w:type="gramEnd"/>
      <w:r w:rsidRPr="00E86B95">
        <w:t xml:space="preserve"> this known field they will perform a calibration process on the HMR sensor a fundamental step to ensure accuracy in all subsequent measurements and an essential skill in instrumentation</w:t>
      </w:r>
    </w:p>
    <w:p w14:paraId="4654D524" w14:textId="77777777" w:rsidR="00E86B95" w:rsidRPr="00E86B95" w:rsidRDefault="00E86B95" w:rsidP="00E86B95">
      <w:pPr>
        <w:spacing w:after="0" w:line="240" w:lineRule="auto"/>
        <w:jc w:val="both"/>
      </w:pPr>
      <w:r w:rsidRPr="00E86B95">
        <w:t xml:space="preserve">Once the sensor is calibrated students will conduct a series of in-depth characterization </w:t>
      </w:r>
      <w:proofErr w:type="gramStart"/>
      <w:r w:rsidRPr="00E86B95">
        <w:t>experiments</w:t>
      </w:r>
      <w:proofErr w:type="gramEnd"/>
      <w:r w:rsidRPr="00E86B95">
        <w:t xml:space="preserve"> They will investigate how the sensor's sensitivity changes as a function of its operating voltage providing insight into optimal working conditions </w:t>
      </w:r>
      <w:proofErr w:type="gramStart"/>
      <w:r w:rsidRPr="00E86B95">
        <w:t>Furthermore</w:t>
      </w:r>
      <w:proofErr w:type="gramEnd"/>
      <w:r w:rsidRPr="00E86B95">
        <w:t xml:space="preserve"> they will study the angular dependence of the sensor by measuring its response as its sensitive axis is rotated relative to the magnetic field's direction providing a complete performance profile</w:t>
      </w:r>
    </w:p>
    <w:p w14:paraId="3F81A65D" w14:textId="77777777" w:rsidR="00E86B95" w:rsidRPr="00E86B95" w:rsidRDefault="00E86B95" w:rsidP="00E86B95">
      <w:pPr>
        <w:spacing w:after="0" w:line="240" w:lineRule="auto"/>
        <w:jc w:val="both"/>
      </w:pPr>
      <w:r w:rsidRPr="00E86B95">
        <w:t xml:space="preserve">This apparatus also brilliantly demonstrates the practical applications of the HMR sensor Once characterized students can use the sensor for real-world measurement tasks such as detecting and quantifying weak magnetic fields </w:t>
      </w:r>
      <w:proofErr w:type="gramStart"/>
      <w:r w:rsidRPr="00E86B95">
        <w:t>Specifically</w:t>
      </w:r>
      <w:proofErr w:type="gramEnd"/>
      <w:r w:rsidRPr="00E86B95">
        <w:t xml:space="preserve"> they can perform a compelling experiment to measure </w:t>
      </w:r>
      <w:r w:rsidRPr="00E86B95">
        <w:lastRenderedPageBreak/>
        <w:t>the current flowing through an electrified wire non-intrusively simply by detecting the magnetic field it generates a direct demonstration of this sensor's utility in technology</w:t>
      </w:r>
    </w:p>
    <w:p w14:paraId="6BD800EB" w14:textId="77777777" w:rsidR="00E86B95" w:rsidRPr="00E86B95" w:rsidRDefault="00E86B95" w:rsidP="00E86B95">
      <w:pPr>
        <w:spacing w:after="0" w:line="240" w:lineRule="auto"/>
        <w:jc w:val="both"/>
      </w:pPr>
      <w:r w:rsidRPr="00E86B95">
        <w:t>With an all-in-one design that includes continuously adjustable power supplies for both the sensor and the Helmholtz coils this apparatus offers a complete and ready-to-use solution Its robust structure and reliable data make it suitable for a wide range of educational levels from technical secondary schools to fundamental physics and comprehensive design experiments at universities</w:t>
      </w:r>
    </w:p>
    <w:p w14:paraId="58A82DFB" w14:textId="77777777" w:rsidR="00E86B95" w:rsidRPr="00E86B95" w:rsidRDefault="00E86B95" w:rsidP="00E86B95">
      <w:pPr>
        <w:spacing w:after="0" w:line="240" w:lineRule="auto"/>
        <w:jc w:val="both"/>
      </w:pPr>
      <w:proofErr w:type="gramStart"/>
      <w:r w:rsidRPr="00E86B95">
        <w:t>Overall</w:t>
      </w:r>
      <w:proofErr w:type="gramEnd"/>
      <w:r w:rsidRPr="00E86B95">
        <w:t xml:space="preserve"> this apparatus is an effective bridge between fundamental solid-state physics and cutting-edge technological applications It provides students with invaluable hands-on experience in characterizing and utilizing modern magnetic sensors making it an excellent investment for any institution aiming to teach the principles behind data storage and magnetic sensing technology</w:t>
      </w:r>
    </w:p>
    <w:p w14:paraId="702CCB3F" w14:textId="77777777" w:rsidR="00E86B95" w:rsidRPr="00E86B95" w:rsidRDefault="00E86B95" w:rsidP="00E86B95">
      <w:pPr>
        <w:spacing w:after="0" w:line="240" w:lineRule="auto"/>
        <w:jc w:val="both"/>
      </w:pPr>
    </w:p>
    <w:sectPr w:rsidR="00E86B95" w:rsidRPr="00E86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95"/>
    <w:rsid w:val="000D6E49"/>
    <w:rsid w:val="001338A9"/>
    <w:rsid w:val="002E2B5A"/>
    <w:rsid w:val="002F7BBA"/>
    <w:rsid w:val="00307549"/>
    <w:rsid w:val="003B5ABF"/>
    <w:rsid w:val="009034B1"/>
    <w:rsid w:val="00A56B67"/>
    <w:rsid w:val="00C36889"/>
    <w:rsid w:val="00E14E2F"/>
    <w:rsid w:val="00E86B95"/>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1CEE"/>
  <w15:chartTrackingRefBased/>
  <w15:docId w15:val="{A5A15EEB-4FF4-4DDB-A2B4-50EF736A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B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6B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6B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6B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6B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6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E86B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6B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6B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6B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6B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6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B95"/>
    <w:rPr>
      <w:rFonts w:eastAsiaTheme="majorEastAsia" w:cstheme="majorBidi"/>
      <w:color w:val="272727" w:themeColor="text1" w:themeTint="D8"/>
    </w:rPr>
  </w:style>
  <w:style w:type="paragraph" w:styleId="Title">
    <w:name w:val="Title"/>
    <w:basedOn w:val="Normal"/>
    <w:next w:val="Normal"/>
    <w:link w:val="TitleChar"/>
    <w:uiPriority w:val="10"/>
    <w:qFormat/>
    <w:rsid w:val="00E86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B95"/>
    <w:pPr>
      <w:spacing w:before="160"/>
      <w:jc w:val="center"/>
    </w:pPr>
    <w:rPr>
      <w:i/>
      <w:iCs/>
      <w:color w:val="404040" w:themeColor="text1" w:themeTint="BF"/>
    </w:rPr>
  </w:style>
  <w:style w:type="character" w:customStyle="1" w:styleId="QuoteChar">
    <w:name w:val="Quote Char"/>
    <w:basedOn w:val="DefaultParagraphFont"/>
    <w:link w:val="Quote"/>
    <w:uiPriority w:val="29"/>
    <w:rsid w:val="00E86B95"/>
    <w:rPr>
      <w:i/>
      <w:iCs/>
      <w:color w:val="404040" w:themeColor="text1" w:themeTint="BF"/>
    </w:rPr>
  </w:style>
  <w:style w:type="paragraph" w:styleId="ListParagraph">
    <w:name w:val="List Paragraph"/>
    <w:basedOn w:val="Normal"/>
    <w:uiPriority w:val="34"/>
    <w:qFormat/>
    <w:rsid w:val="00E86B95"/>
    <w:pPr>
      <w:ind w:left="720"/>
      <w:contextualSpacing/>
    </w:pPr>
  </w:style>
  <w:style w:type="character" w:styleId="IntenseEmphasis">
    <w:name w:val="Intense Emphasis"/>
    <w:basedOn w:val="DefaultParagraphFont"/>
    <w:uiPriority w:val="21"/>
    <w:qFormat/>
    <w:rsid w:val="00E86B95"/>
    <w:rPr>
      <w:i/>
      <w:iCs/>
      <w:color w:val="2F5496" w:themeColor="accent1" w:themeShade="BF"/>
    </w:rPr>
  </w:style>
  <w:style w:type="paragraph" w:styleId="IntenseQuote">
    <w:name w:val="Intense Quote"/>
    <w:basedOn w:val="Normal"/>
    <w:next w:val="Normal"/>
    <w:link w:val="IntenseQuoteChar"/>
    <w:uiPriority w:val="30"/>
    <w:qFormat/>
    <w:rsid w:val="00E86B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6B95"/>
    <w:rPr>
      <w:i/>
      <w:iCs/>
      <w:color w:val="2F5496" w:themeColor="accent1" w:themeShade="BF"/>
    </w:rPr>
  </w:style>
  <w:style w:type="character" w:styleId="IntenseReference">
    <w:name w:val="Intense Reference"/>
    <w:basedOn w:val="DefaultParagraphFont"/>
    <w:uiPriority w:val="32"/>
    <w:qFormat/>
    <w:rsid w:val="00E86B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2025-10-01T03:56:00Z</dcterms:created>
  <dcterms:modified xsi:type="dcterms:W3CDTF">2025-10-01T03:57:00Z</dcterms:modified>
</cp:coreProperties>
</file>